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C911B" w14:textId="77777777" w:rsidR="008A7244" w:rsidRDefault="008A7244"/>
    <w:p w14:paraId="1E07AF93" w14:textId="77777777" w:rsidR="008A7244" w:rsidRDefault="008A7244"/>
    <w:tbl>
      <w:tblPr>
        <w:tblStyle w:val="a0"/>
        <w:tblW w:w="1071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270"/>
        <w:gridCol w:w="7380"/>
      </w:tblGrid>
      <w:tr w:rsidR="008A7244" w14:paraId="747DFA81" w14:textId="77777777">
        <w:trPr>
          <w:trHeight w:val="1140"/>
        </w:trPr>
        <w:tc>
          <w:tcPr>
            <w:tcW w:w="3060" w:type="dxa"/>
            <w:tcBorders>
              <w:top w:val="nil"/>
              <w:left w:val="nil"/>
              <w:bottom w:val="single" w:sz="12" w:space="0" w:color="1F497D"/>
              <w:right w:val="single" w:sz="12" w:space="0" w:color="1F497D"/>
            </w:tcBorders>
          </w:tcPr>
          <w:p w14:paraId="27E74A0F" w14:textId="77777777" w:rsidR="008A7244" w:rsidRDefault="00000000">
            <w:pPr>
              <w:jc w:val="left"/>
              <w:rPr>
                <w:b/>
                <w:color w:val="002060"/>
              </w:rPr>
            </w:pPr>
            <w:r>
              <w:rPr>
                <w:b/>
                <w:color w:val="002060"/>
              </w:rPr>
              <w:t>Courthouse - Fillmore</w:t>
            </w:r>
          </w:p>
          <w:p w14:paraId="6F10E901" w14:textId="77777777" w:rsidR="008A7244" w:rsidRDefault="00000000">
            <w:pPr>
              <w:jc w:val="left"/>
            </w:pPr>
            <w:r>
              <w:t>50 South Main</w:t>
            </w:r>
          </w:p>
          <w:p w14:paraId="76C7B71B" w14:textId="77777777" w:rsidR="008A7244" w:rsidRDefault="00000000">
            <w:pPr>
              <w:jc w:val="left"/>
            </w:pPr>
            <w:r>
              <w:t>Fillmore, UT  84631-5504</w:t>
            </w:r>
          </w:p>
          <w:p w14:paraId="66C88ECD" w14:textId="77777777" w:rsidR="008A7244" w:rsidRDefault="00000000">
            <w:pPr>
              <w:jc w:val="left"/>
            </w:pPr>
            <w:r>
              <w:t>Fax: (435) 743-8019</w:t>
            </w:r>
          </w:p>
          <w:p w14:paraId="371B4263" w14:textId="77777777" w:rsidR="008A7244" w:rsidRDefault="00000000">
            <w:pPr>
              <w:jc w:val="left"/>
            </w:pPr>
            <w:r>
              <w:t>Commission Secretary:</w:t>
            </w:r>
          </w:p>
          <w:p w14:paraId="2BCEA9BB" w14:textId="77777777" w:rsidR="008A7244" w:rsidRDefault="00000000">
            <w:pPr>
              <w:jc w:val="left"/>
            </w:pPr>
            <w:r>
              <w:t>(435) 743-6223</w:t>
            </w:r>
          </w:p>
          <w:p w14:paraId="325235A3" w14:textId="77777777" w:rsidR="008A7244" w:rsidRDefault="00000000">
            <w:pPr>
              <w:jc w:val="left"/>
            </w:pPr>
            <w:r>
              <w:t>Fax: (435) 743-6923</w:t>
            </w:r>
          </w:p>
        </w:tc>
        <w:tc>
          <w:tcPr>
            <w:tcW w:w="270" w:type="dxa"/>
            <w:tcBorders>
              <w:top w:val="nil"/>
              <w:left w:val="single" w:sz="12" w:space="0" w:color="1F497D"/>
              <w:bottom w:val="single" w:sz="12" w:space="0" w:color="1F497D"/>
              <w:right w:val="nil"/>
            </w:tcBorders>
          </w:tcPr>
          <w:p w14:paraId="16E08BBA" w14:textId="77777777" w:rsidR="008A7244" w:rsidRDefault="008A7244"/>
        </w:tc>
        <w:tc>
          <w:tcPr>
            <w:tcW w:w="7380" w:type="dxa"/>
            <w:vMerge w:val="restart"/>
            <w:tcBorders>
              <w:top w:val="nil"/>
              <w:left w:val="nil"/>
              <w:right w:val="nil"/>
            </w:tcBorders>
            <w:vAlign w:val="center"/>
          </w:tcPr>
          <w:p w14:paraId="3F5D2C6C" w14:textId="77777777" w:rsidR="008A7244" w:rsidRDefault="00000000">
            <w:pPr>
              <w:jc w:val="left"/>
              <w:rPr>
                <w:rFonts w:ascii="Pinyon Script" w:eastAsia="Pinyon Script" w:hAnsi="Pinyon Script" w:cs="Pinyon Script"/>
                <w:b/>
                <w:sz w:val="72"/>
                <w:szCs w:val="72"/>
              </w:rPr>
            </w:pPr>
            <w:r>
              <w:rPr>
                <w:rFonts w:ascii="Pinyon Script" w:eastAsia="Pinyon Script" w:hAnsi="Pinyon Script" w:cs="Pinyon Script"/>
                <w:b/>
                <w:color w:val="17365D"/>
                <w:sz w:val="72"/>
                <w:szCs w:val="72"/>
              </w:rPr>
              <w:t xml:space="preserve">    Millard County </w:t>
            </w:r>
            <w:r>
              <w:rPr>
                <w:noProof/>
              </w:rPr>
              <mc:AlternateContent>
                <mc:Choice Requires="wpg">
                  <w:drawing>
                    <wp:anchor distT="0" distB="0" distL="0" distR="0" simplePos="0" relativeHeight="251658240" behindDoc="0" locked="0" layoutInCell="1" hidden="0" allowOverlap="1" wp14:anchorId="10AFC431" wp14:editId="4206517C">
                      <wp:simplePos x="0" y="0"/>
                      <wp:positionH relativeFrom="column">
                        <wp:posOffset>1270000</wp:posOffset>
                      </wp:positionH>
                      <wp:positionV relativeFrom="paragraph">
                        <wp:posOffset>546100</wp:posOffset>
                      </wp:positionV>
                      <wp:extent cx="1464945" cy="285750"/>
                      <wp:effectExtent l="0" t="0" r="0" b="0"/>
                      <wp:wrapSquare wrapText="bothSides" distT="0" distB="0" distL="0" distR="0"/>
                      <wp:docPr id="3" name="Rectangle 3"/>
                      <wp:cNvGraphicFramePr/>
                      <a:graphic xmlns:a="http://schemas.openxmlformats.org/drawingml/2006/main">
                        <a:graphicData uri="http://schemas.microsoft.com/office/word/2010/wordprocessingShape">
                          <wps:wsp>
                            <wps:cNvSpPr/>
                            <wps:spPr>
                              <a:xfrm>
                                <a:off x="4632578" y="3656175"/>
                                <a:ext cx="1426845" cy="247650"/>
                              </a:xfrm>
                              <a:prstGeom prst="rect">
                                <a:avLst/>
                              </a:prstGeom>
                              <a:solidFill>
                                <a:srgbClr val="FFFFFF"/>
                              </a:solidFill>
                              <a:ln w="19050" cap="flat" cmpd="sng">
                                <a:solidFill>
                                  <a:schemeClr val="lt1"/>
                                </a:solidFill>
                                <a:prstDash val="solid"/>
                                <a:miter lim="800000"/>
                                <a:headEnd type="none" w="sm" len="sm"/>
                                <a:tailEnd type="none" w="sm" len="sm"/>
                              </a:ln>
                            </wps:spPr>
                            <wps:txbx>
                              <w:txbxContent>
                                <w:p w14:paraId="5B951C6A" w14:textId="77777777" w:rsidR="008A7244" w:rsidRDefault="00000000">
                                  <w:pPr>
                                    <w:ind w:right="-517"/>
                                    <w:jc w:val="left"/>
                                    <w:textDirection w:val="btLr"/>
                                  </w:pPr>
                                  <w:r>
                                    <w:rPr>
                                      <w:i/>
                                      <w:color w:val="1F497D"/>
                                      <w:sz w:val="18"/>
                                      <w:u w:val="single"/>
                                    </w:rPr>
                                    <w:t>www.millardcounty.org</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1270000</wp:posOffset>
                      </wp:positionH>
                      <wp:positionV relativeFrom="paragraph">
                        <wp:posOffset>546100</wp:posOffset>
                      </wp:positionV>
                      <wp:extent cx="1464945" cy="285750"/>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464945" cy="285750"/>
                              </a:xfrm>
                              <a:prstGeom prst="rect"/>
                              <a:ln/>
                            </pic:spPr>
                          </pic:pic>
                        </a:graphicData>
                      </a:graphic>
                    </wp:anchor>
                  </w:drawing>
                </mc:Fallback>
              </mc:AlternateContent>
            </w:r>
          </w:p>
        </w:tc>
      </w:tr>
      <w:tr w:rsidR="008A7244" w14:paraId="2AD0E313" w14:textId="77777777">
        <w:trPr>
          <w:trHeight w:val="60"/>
        </w:trPr>
        <w:tc>
          <w:tcPr>
            <w:tcW w:w="3060" w:type="dxa"/>
            <w:vMerge w:val="restart"/>
            <w:tcBorders>
              <w:top w:val="single" w:sz="12" w:space="0" w:color="1F497D"/>
              <w:left w:val="nil"/>
              <w:right w:val="single" w:sz="12" w:space="0" w:color="1F497D"/>
            </w:tcBorders>
          </w:tcPr>
          <w:p w14:paraId="20002DD0" w14:textId="77777777" w:rsidR="008A7244" w:rsidRDefault="00000000">
            <w:pPr>
              <w:rPr>
                <w:i/>
                <w:color w:val="548DD4"/>
                <w:sz w:val="18"/>
                <w:szCs w:val="18"/>
              </w:rPr>
            </w:pPr>
            <w:r>
              <w:rPr>
                <w:noProof/>
              </w:rPr>
              <w:drawing>
                <wp:anchor distT="0" distB="0" distL="114300" distR="114300" simplePos="0" relativeHeight="251659264" behindDoc="0" locked="0" layoutInCell="1" hidden="0" allowOverlap="1" wp14:anchorId="0770D90B" wp14:editId="0F432A0E">
                  <wp:simplePos x="0" y="0"/>
                  <wp:positionH relativeFrom="column">
                    <wp:posOffset>493395</wp:posOffset>
                  </wp:positionH>
                  <wp:positionV relativeFrom="paragraph">
                    <wp:posOffset>53975</wp:posOffset>
                  </wp:positionV>
                  <wp:extent cx="1080135" cy="88582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80135" cy="885825"/>
                          </a:xfrm>
                          <a:prstGeom prst="rect">
                            <a:avLst/>
                          </a:prstGeom>
                          <a:ln/>
                        </pic:spPr>
                      </pic:pic>
                    </a:graphicData>
                  </a:graphic>
                </wp:anchor>
              </w:drawing>
            </w:r>
          </w:p>
        </w:tc>
        <w:tc>
          <w:tcPr>
            <w:tcW w:w="270" w:type="dxa"/>
            <w:tcBorders>
              <w:top w:val="single" w:sz="12" w:space="0" w:color="1F497D"/>
              <w:left w:val="single" w:sz="12" w:space="0" w:color="1F497D"/>
              <w:bottom w:val="single" w:sz="12" w:space="0" w:color="1F497D"/>
              <w:right w:val="single" w:sz="12" w:space="0" w:color="1F497D"/>
            </w:tcBorders>
            <w:shd w:val="clear" w:color="auto" w:fill="1F497D"/>
          </w:tcPr>
          <w:p w14:paraId="41EA3D49" w14:textId="77777777" w:rsidR="008A7244" w:rsidRDefault="008A7244"/>
        </w:tc>
        <w:tc>
          <w:tcPr>
            <w:tcW w:w="7380" w:type="dxa"/>
            <w:vMerge/>
            <w:tcBorders>
              <w:top w:val="nil"/>
              <w:left w:val="nil"/>
              <w:right w:val="nil"/>
            </w:tcBorders>
            <w:vAlign w:val="center"/>
          </w:tcPr>
          <w:p w14:paraId="523DE040" w14:textId="77777777" w:rsidR="008A7244" w:rsidRDefault="008A7244">
            <w:pPr>
              <w:widowControl w:val="0"/>
              <w:pBdr>
                <w:top w:val="nil"/>
                <w:left w:val="nil"/>
                <w:bottom w:val="nil"/>
                <w:right w:val="nil"/>
                <w:between w:val="nil"/>
              </w:pBdr>
              <w:spacing w:line="276" w:lineRule="auto"/>
              <w:ind w:right="0"/>
              <w:jc w:val="left"/>
            </w:pPr>
          </w:p>
        </w:tc>
      </w:tr>
      <w:tr w:rsidR="008A7244" w14:paraId="5CE01B5E" w14:textId="77777777">
        <w:trPr>
          <w:trHeight w:val="1220"/>
        </w:trPr>
        <w:tc>
          <w:tcPr>
            <w:tcW w:w="3060" w:type="dxa"/>
            <w:vMerge/>
            <w:tcBorders>
              <w:top w:val="single" w:sz="12" w:space="0" w:color="1F497D"/>
              <w:left w:val="nil"/>
              <w:right w:val="single" w:sz="12" w:space="0" w:color="1F497D"/>
            </w:tcBorders>
          </w:tcPr>
          <w:p w14:paraId="2AA411FE" w14:textId="77777777" w:rsidR="008A7244" w:rsidRDefault="008A7244">
            <w:pPr>
              <w:widowControl w:val="0"/>
              <w:pBdr>
                <w:top w:val="nil"/>
                <w:left w:val="nil"/>
                <w:bottom w:val="nil"/>
                <w:right w:val="nil"/>
                <w:between w:val="nil"/>
              </w:pBdr>
              <w:spacing w:line="276" w:lineRule="auto"/>
              <w:ind w:right="0"/>
              <w:jc w:val="left"/>
            </w:pPr>
          </w:p>
        </w:tc>
        <w:tc>
          <w:tcPr>
            <w:tcW w:w="270" w:type="dxa"/>
            <w:tcBorders>
              <w:top w:val="single" w:sz="12" w:space="0" w:color="1F497D"/>
              <w:left w:val="nil"/>
              <w:bottom w:val="nil"/>
              <w:right w:val="single" w:sz="12" w:space="0" w:color="1F497D"/>
            </w:tcBorders>
          </w:tcPr>
          <w:p w14:paraId="7352F8B0" w14:textId="77777777" w:rsidR="008A7244" w:rsidRDefault="008A7244"/>
        </w:tc>
        <w:tc>
          <w:tcPr>
            <w:tcW w:w="7380" w:type="dxa"/>
            <w:tcBorders>
              <w:top w:val="single" w:sz="12" w:space="0" w:color="1F497D"/>
              <w:left w:val="single" w:sz="12" w:space="0" w:color="1F497D"/>
              <w:bottom w:val="nil"/>
              <w:right w:val="nil"/>
            </w:tcBorders>
          </w:tcPr>
          <w:p w14:paraId="511B79B6" w14:textId="77777777" w:rsidR="008A7244" w:rsidRDefault="00000000">
            <w:pPr>
              <w:jc w:val="left"/>
              <w:rPr>
                <w:b/>
                <w:color w:val="002060"/>
              </w:rPr>
            </w:pPr>
            <w:r>
              <w:rPr>
                <w:b/>
                <w:color w:val="002060"/>
              </w:rPr>
              <w:t xml:space="preserve">Satellite Offices – Delta </w:t>
            </w:r>
          </w:p>
          <w:p w14:paraId="26192C09" w14:textId="77777777" w:rsidR="008A7244" w:rsidRDefault="00000000">
            <w:pPr>
              <w:jc w:val="left"/>
            </w:pPr>
            <w:r>
              <w:t>71 South 200 West ◦ P.O. Box 854</w:t>
            </w:r>
          </w:p>
          <w:p w14:paraId="2EBB24D8" w14:textId="77777777" w:rsidR="008A7244" w:rsidRDefault="00000000">
            <w:pPr>
              <w:jc w:val="left"/>
            </w:pPr>
            <w:r>
              <w:t>Delta, UT  84624</w:t>
            </w:r>
          </w:p>
          <w:p w14:paraId="5C81488F" w14:textId="77777777" w:rsidR="008A7244" w:rsidRDefault="00000000">
            <w:pPr>
              <w:jc w:val="left"/>
            </w:pPr>
            <w:r>
              <w:t>Phone: (435) 864-1400</w:t>
            </w:r>
          </w:p>
          <w:p w14:paraId="66C98AD6" w14:textId="77777777" w:rsidR="008A7244" w:rsidRDefault="00000000">
            <w:pPr>
              <w:jc w:val="left"/>
            </w:pPr>
            <w:r>
              <w:t xml:space="preserve">Fax:  </w:t>
            </w:r>
            <w:proofErr w:type="gramStart"/>
            <w:r>
              <w:t xml:space="preserve">   (</w:t>
            </w:r>
            <w:proofErr w:type="gramEnd"/>
            <w:r>
              <w:t>435) 864-1404</w:t>
            </w:r>
          </w:p>
        </w:tc>
      </w:tr>
    </w:tbl>
    <w:p w14:paraId="1C86C702" w14:textId="77777777" w:rsidR="008A7244" w:rsidRDefault="008A7244"/>
    <w:p w14:paraId="798D53BE" w14:textId="77777777" w:rsidR="008A7244" w:rsidRDefault="008A7244">
      <w:pPr>
        <w:jc w:val="left"/>
      </w:pPr>
    </w:p>
    <w:p w14:paraId="3DD28CD2" w14:textId="5E7E5ED5" w:rsidR="008A7244" w:rsidRDefault="00A83244">
      <w:pPr>
        <w:spacing w:before="240" w:after="240"/>
        <w:ind w:right="0"/>
        <w:jc w:val="left"/>
      </w:pPr>
      <w:bookmarkStart w:id="0" w:name="_heading=h.gjdgxs" w:colFirst="0" w:colLast="0"/>
      <w:bookmarkEnd w:id="0"/>
      <w:r>
        <w:t>11/5/2024</w:t>
      </w:r>
      <w:r w:rsidR="00000000">
        <w:t>/24</w:t>
      </w:r>
    </w:p>
    <w:p w14:paraId="5171243D" w14:textId="77777777" w:rsidR="008A7244" w:rsidRDefault="00000000">
      <w:pPr>
        <w:jc w:val="left"/>
      </w:pPr>
      <w:r>
        <w:t xml:space="preserve">Millard County is accepting applications for the position of regular full-time Landfill Operator I. Must possess a current Utah Class A CDL (Commercial </w:t>
      </w:r>
      <w:proofErr w:type="spellStart"/>
      <w:r>
        <w:t>Drivers</w:t>
      </w:r>
      <w:proofErr w:type="spellEnd"/>
      <w:r>
        <w:t xml:space="preserve"> License) and MEC (Medical Examiner’s Certificate). </w:t>
      </w:r>
    </w:p>
    <w:p w14:paraId="7C880ABA" w14:textId="77777777" w:rsidR="008A7244" w:rsidRDefault="008A7244">
      <w:pPr>
        <w:jc w:val="left"/>
      </w:pPr>
    </w:p>
    <w:p w14:paraId="0A108838" w14:textId="77777777" w:rsidR="008A7244" w:rsidRDefault="00000000">
      <w:pPr>
        <w:jc w:val="left"/>
      </w:pPr>
      <w:r>
        <w:t xml:space="preserve">Must be able to pass ICC </w:t>
      </w:r>
      <w:proofErr w:type="gramStart"/>
      <w:r>
        <w:t>physical</w:t>
      </w:r>
      <w:proofErr w:type="gramEnd"/>
      <w:r>
        <w:t xml:space="preserve">. Operates front load compactor, grader, compactor, scraper, backhoe, dozer or related heavy equipment utilized in the moving, covering and compacting of waste deposited into county landfill; maintains road allowing easy access in and out of landfill sites. May be required, as needed, to operate trucks, large roll off metal bins, hydraulic lifts, and mechanically driven tarp covers in collecting, transporting, and depositing refuse in county sanitary landfills. Performs all assignments made by supervisor. Has tolerance for working in extreme weather. Preference may be given to applicants with heavy equipment operator experience. Must be 21 years of age or older to apply. </w:t>
      </w:r>
    </w:p>
    <w:p w14:paraId="37468F8E" w14:textId="77777777" w:rsidR="008A7244" w:rsidRDefault="008A7244">
      <w:pPr>
        <w:jc w:val="left"/>
      </w:pPr>
    </w:p>
    <w:p w14:paraId="65199548" w14:textId="749BCDC1" w:rsidR="008A7244" w:rsidRDefault="00000000">
      <w:pPr>
        <w:jc w:val="left"/>
      </w:pPr>
      <w:r>
        <w:t xml:space="preserve">Application packets and a complete job description are available at www.millardcounty.org. Application with a résumé may be emailed to </w:t>
      </w:r>
      <w:hyperlink r:id="rId9" w:history="1">
        <w:r w:rsidR="00801DDC" w:rsidRPr="008E61D2">
          <w:rPr>
            <w:rStyle w:val="Hyperlink"/>
          </w:rPr>
          <w:t>jnielson@co.millard.ut.us</w:t>
        </w:r>
      </w:hyperlink>
      <w:r w:rsidR="00A83244">
        <w:t xml:space="preserve"> or taken to the Millard County </w:t>
      </w:r>
      <w:proofErr w:type="spellStart"/>
      <w:r w:rsidR="00A83244">
        <w:t>Clerks</w:t>
      </w:r>
      <w:proofErr w:type="spellEnd"/>
      <w:r w:rsidR="00A83244">
        <w:t xml:space="preserve"> Office at </w:t>
      </w:r>
      <w:r w:rsidR="00A83244" w:rsidRPr="00A83244">
        <w:t>765 UT-99, Fillmore, UT 8463</w:t>
      </w:r>
      <w:r w:rsidR="00A83244">
        <w:t>1 by November 19</w:t>
      </w:r>
      <w:r w:rsidR="00A83244" w:rsidRPr="00A83244">
        <w:rPr>
          <w:vertAlign w:val="superscript"/>
        </w:rPr>
        <w:t>th</w:t>
      </w:r>
      <w:r w:rsidR="00A83244">
        <w:t xml:space="preserve"> by 5:00pm. </w:t>
      </w:r>
      <w:r w:rsidR="00801DDC">
        <w:t xml:space="preserve"> If you have any questions about the </w:t>
      </w:r>
      <w:proofErr w:type="gramStart"/>
      <w:r w:rsidR="00801DDC">
        <w:t>position</w:t>
      </w:r>
      <w:proofErr w:type="gramEnd"/>
      <w:r w:rsidR="00801DDC">
        <w:t xml:space="preserve"> feel free to contact me at (435) 406 6258</w:t>
      </w:r>
    </w:p>
    <w:p w14:paraId="2180D2A2" w14:textId="77777777" w:rsidR="008A7244" w:rsidRDefault="00000000">
      <w:r>
        <w:t>Millard County is an Equal Opportunity Employer</w:t>
      </w:r>
    </w:p>
    <w:p w14:paraId="661D64C5" w14:textId="77777777" w:rsidR="008A7244" w:rsidRDefault="008A7244">
      <w:pPr>
        <w:spacing w:before="240" w:after="240"/>
        <w:ind w:right="0"/>
        <w:jc w:val="left"/>
      </w:pPr>
    </w:p>
    <w:sectPr w:rsidR="008A7244">
      <w:footerReference w:type="default" r:id="rId10"/>
      <w:pgSz w:w="12240" w:h="15840"/>
      <w:pgMar w:top="101"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5418E" w14:textId="77777777" w:rsidR="00A7348B" w:rsidRDefault="00A7348B">
      <w:r>
        <w:separator/>
      </w:r>
    </w:p>
  </w:endnote>
  <w:endnote w:type="continuationSeparator" w:id="0">
    <w:p w14:paraId="47A16022" w14:textId="77777777" w:rsidR="00A7348B" w:rsidRDefault="00A73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DB90A29-011D-4140-A21F-BD2AF4277FA2}"/>
    <w:embedItalic r:id="rId2" w:fontKey="{18B28442-633B-4179-9AE9-4441B5822760}"/>
  </w:font>
  <w:font w:name="Pinyon Script">
    <w:altName w:val="Calibri"/>
    <w:charset w:val="00"/>
    <w:family w:val="auto"/>
    <w:pitch w:val="default"/>
    <w:embedRegular r:id="rId3" w:fontKey="{8130D3AA-FD84-44C2-BC6B-58F661F1E4A6}"/>
    <w:embedBold r:id="rId4" w:fontKey="{58876387-97D0-4148-8219-500133354665}"/>
  </w:font>
  <w:font w:name="Calibri">
    <w:panose1 w:val="020F0502020204030204"/>
    <w:charset w:val="00"/>
    <w:family w:val="swiss"/>
    <w:pitch w:val="variable"/>
    <w:sig w:usb0="E4002EFF" w:usb1="C200247B" w:usb2="00000009" w:usb3="00000000" w:csb0="000001FF" w:csb1="00000000"/>
    <w:embedRegular r:id="rId5" w:fontKey="{477340E5-5FF7-4B41-A846-02FEB1ED1BF4}"/>
  </w:font>
  <w:font w:name="Cambria">
    <w:panose1 w:val="02040503050406030204"/>
    <w:charset w:val="00"/>
    <w:family w:val="roman"/>
    <w:pitch w:val="variable"/>
    <w:sig w:usb0="E00006FF" w:usb1="420024FF" w:usb2="02000000" w:usb3="00000000" w:csb0="0000019F" w:csb1="00000000"/>
    <w:embedRegular r:id="rId6" w:fontKey="{D5AA9E6D-7E84-41A1-8B21-38E9B187C3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44390" w14:textId="77777777" w:rsidR="008A7244" w:rsidRDefault="00000000">
    <w:pPr>
      <w:pBdr>
        <w:top w:val="nil"/>
        <w:left w:val="nil"/>
        <w:bottom w:val="nil"/>
        <w:right w:val="nil"/>
        <w:between w:val="nil"/>
      </w:pBdr>
      <w:tabs>
        <w:tab w:val="left" w:pos="375"/>
        <w:tab w:val="center" w:pos="4939"/>
      </w:tabs>
      <w:jc w:val="left"/>
      <w:rPr>
        <w:color w:val="000000"/>
      </w:rPr>
    </w:pPr>
    <w:r>
      <w:rPr>
        <w:color w:val="000000"/>
      </w:rPr>
      <w:tab/>
    </w:r>
    <w:r>
      <w:rPr>
        <w:color w:val="000000"/>
      </w:rPr>
      <w:tab/>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B15ABA" w14:textId="77777777" w:rsidR="00A7348B" w:rsidRDefault="00A7348B">
      <w:r>
        <w:separator/>
      </w:r>
    </w:p>
  </w:footnote>
  <w:footnote w:type="continuationSeparator" w:id="0">
    <w:p w14:paraId="08704F06" w14:textId="77777777" w:rsidR="00A7348B" w:rsidRDefault="00A734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244"/>
    <w:rsid w:val="0060474B"/>
    <w:rsid w:val="00801DDC"/>
    <w:rsid w:val="008A7244"/>
    <w:rsid w:val="00A7348B"/>
    <w:rsid w:val="00A83244"/>
    <w:rsid w:val="00B84312"/>
    <w:rsid w:val="00FE0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8CCEB"/>
  <w15:docId w15:val="{5637E6B3-754A-4694-BFFD-2CE1CA49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ind w:right="-518"/>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801DDC"/>
    <w:rPr>
      <w:color w:val="0000FF" w:themeColor="hyperlink"/>
      <w:u w:val="single"/>
    </w:rPr>
  </w:style>
  <w:style w:type="character" w:styleId="UnresolvedMention">
    <w:name w:val="Unresolved Mention"/>
    <w:basedOn w:val="DefaultParagraphFont"/>
    <w:uiPriority w:val="99"/>
    <w:semiHidden/>
    <w:unhideWhenUsed/>
    <w:rsid w:val="00801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nielson@co.millard.ut.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03wWmEiSkNCbank3Pfn96X4OnA==">CgMxLjAyCGguZ2pkZ3hzOAByITFwWHlnUjNuQ1p2VGNKNEc1Ym5LNDcwWmZ5eGZjd25hcA==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252</Words>
  <Characters>1437</Characters>
  <Application>Microsoft Office Word</Application>
  <DocSecurity>0</DocSecurity>
  <Lines>11</Lines>
  <Paragraphs>3</Paragraphs>
  <ScaleCrop>false</ScaleCrop>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jhair</dc:creator>
  <cp:lastModifiedBy>Jacob Nielson</cp:lastModifiedBy>
  <cp:revision>2</cp:revision>
  <dcterms:created xsi:type="dcterms:W3CDTF">2024-11-05T17:51:00Z</dcterms:created>
  <dcterms:modified xsi:type="dcterms:W3CDTF">2024-11-05T17:51:00Z</dcterms:modified>
</cp:coreProperties>
</file>