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55432" w14:textId="77777777" w:rsidR="007B07AB" w:rsidRDefault="007B07AB"/>
    <w:p w14:paraId="36ABE645" w14:textId="77777777" w:rsidR="007B07AB" w:rsidRDefault="007B07AB"/>
    <w:tbl>
      <w:tblPr>
        <w:tblStyle w:val="a"/>
        <w:tblW w:w="107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270"/>
        <w:gridCol w:w="7380"/>
      </w:tblGrid>
      <w:tr w:rsidR="007B07AB" w14:paraId="532775EF" w14:textId="77777777">
        <w:trPr>
          <w:trHeight w:val="1140"/>
        </w:trPr>
        <w:tc>
          <w:tcPr>
            <w:tcW w:w="3060" w:type="dxa"/>
            <w:tcBorders>
              <w:top w:val="nil"/>
              <w:left w:val="nil"/>
              <w:bottom w:val="single" w:sz="12" w:space="0" w:color="1F497D"/>
              <w:right w:val="single" w:sz="12" w:space="0" w:color="1F497D"/>
            </w:tcBorders>
          </w:tcPr>
          <w:p w14:paraId="7BADB250" w14:textId="77777777" w:rsidR="007B07AB" w:rsidRDefault="00930FC7">
            <w:pPr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Courthouse - Fillmore</w:t>
            </w:r>
          </w:p>
          <w:p w14:paraId="519EB1AE" w14:textId="77777777" w:rsidR="007B07AB" w:rsidRDefault="00930FC7">
            <w:pPr>
              <w:jc w:val="left"/>
            </w:pPr>
            <w:r>
              <w:t>50 South Main</w:t>
            </w:r>
          </w:p>
          <w:p w14:paraId="50133B8C" w14:textId="77777777" w:rsidR="007B07AB" w:rsidRDefault="00930FC7">
            <w:pPr>
              <w:jc w:val="left"/>
            </w:pPr>
            <w:r>
              <w:t>Fillmore, UT  84631-5504</w:t>
            </w:r>
          </w:p>
          <w:p w14:paraId="0CE053D0" w14:textId="77777777" w:rsidR="007B07AB" w:rsidRDefault="00930FC7">
            <w:pPr>
              <w:jc w:val="left"/>
            </w:pPr>
            <w:r>
              <w:t>Fax: (435) 743-8019</w:t>
            </w:r>
          </w:p>
          <w:p w14:paraId="14FBFFE6" w14:textId="77777777" w:rsidR="007B07AB" w:rsidRDefault="00930FC7">
            <w:pPr>
              <w:jc w:val="left"/>
            </w:pPr>
            <w:r>
              <w:t>Commission Secretary:</w:t>
            </w:r>
          </w:p>
          <w:p w14:paraId="2294C9E9" w14:textId="77777777" w:rsidR="007B07AB" w:rsidRDefault="00930FC7">
            <w:pPr>
              <w:jc w:val="left"/>
            </w:pPr>
            <w:r>
              <w:t>(435) 743-6223</w:t>
            </w:r>
          </w:p>
          <w:p w14:paraId="4112C1B1" w14:textId="77777777" w:rsidR="007B07AB" w:rsidRDefault="00930FC7">
            <w:pPr>
              <w:jc w:val="left"/>
            </w:pPr>
            <w:r>
              <w:t>Fax: (435) 743-6923</w:t>
            </w:r>
          </w:p>
        </w:tc>
        <w:tc>
          <w:tcPr>
            <w:tcW w:w="270" w:type="dxa"/>
            <w:tcBorders>
              <w:top w:val="nil"/>
              <w:left w:val="single" w:sz="12" w:space="0" w:color="1F497D"/>
              <w:bottom w:val="single" w:sz="12" w:space="0" w:color="1F497D"/>
              <w:right w:val="nil"/>
            </w:tcBorders>
          </w:tcPr>
          <w:p w14:paraId="079D792C" w14:textId="77777777" w:rsidR="007B07AB" w:rsidRDefault="007B07AB"/>
        </w:tc>
        <w:tc>
          <w:tcPr>
            <w:tcW w:w="73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3E469B" w14:textId="61226429" w:rsidR="007B07AB" w:rsidRPr="001E2665" w:rsidRDefault="00262B37" w:rsidP="001E2665">
            <w:pPr>
              <w:jc w:val="both"/>
              <w:rPr>
                <w:rFonts w:ascii="Pinyon Script" w:eastAsia="Pinyon Script" w:hAnsi="Pinyon Script" w:cs="Pinyon Script"/>
                <w:b/>
                <w:sz w:val="64"/>
                <w:szCs w:val="6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AEA76EB" wp14:editId="00EBB198">
                  <wp:simplePos x="0" y="0"/>
                  <wp:positionH relativeFrom="column">
                    <wp:posOffset>3198495</wp:posOffset>
                  </wp:positionH>
                  <wp:positionV relativeFrom="paragraph">
                    <wp:posOffset>-41275</wp:posOffset>
                  </wp:positionV>
                  <wp:extent cx="1080135" cy="885825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FC7">
              <w:rPr>
                <w:rFonts w:ascii="Pinyon Script" w:eastAsia="Pinyon Script" w:hAnsi="Pinyon Script" w:cs="Pinyon Script"/>
                <w:b/>
                <w:color w:val="17365D"/>
                <w:sz w:val="72"/>
                <w:szCs w:val="72"/>
              </w:rPr>
              <w:t xml:space="preserve">  </w:t>
            </w:r>
            <w:r w:rsidR="001E2665">
              <w:rPr>
                <w:rFonts w:ascii="Pinyon Script" w:eastAsia="Pinyon Script" w:hAnsi="Pinyon Script" w:cs="Pinyon Script"/>
                <w:b/>
                <w:color w:val="17365D"/>
                <w:sz w:val="72"/>
                <w:szCs w:val="72"/>
              </w:rPr>
              <w:t xml:space="preserve">   </w:t>
            </w:r>
            <w:r w:rsidR="00930FC7" w:rsidRPr="001E2665">
              <w:rPr>
                <w:rFonts w:ascii="Pinyon Script" w:eastAsia="Pinyon Script" w:hAnsi="Pinyon Script" w:cs="Pinyon Script"/>
                <w:b/>
                <w:color w:val="17365D"/>
                <w:sz w:val="64"/>
                <w:szCs w:val="64"/>
              </w:rPr>
              <w:t xml:space="preserve">Millard County </w:t>
            </w:r>
            <w:r w:rsidR="00930FC7" w:rsidRPr="001E2665"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 wp14:anchorId="2A65C759" wp14:editId="1D9D69A4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558800</wp:posOffset>
                      </wp:positionV>
                      <wp:extent cx="1445895" cy="266700"/>
                      <wp:effectExtent l="0" t="0" r="0" b="0"/>
                      <wp:wrapSquare wrapText="bothSides" distT="0" distB="0" distL="0" distR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2578" y="3656175"/>
                                <a:ext cx="142684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D6F0CF" w14:textId="77777777" w:rsidR="007B07AB" w:rsidRDefault="00930FC7">
                                  <w:pPr>
                                    <w:ind w:right="-517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1F497D"/>
                                      <w:sz w:val="18"/>
                                      <w:u w:val="single"/>
                                    </w:rPr>
                                    <w:t>www.millardcounty.org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5C759" id="Rectangle 1" o:spid="_x0000_s1026" style="position:absolute;left:0;text-align:left;margin-left:101pt;margin-top:44pt;width:113.85pt;height:2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" strokecolor="white [3201]" strokeweight="1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AD6F0CF" w14:textId="77777777" w:rsidR="007B07AB" w:rsidRDefault="00930FC7">
                            <w:pPr>
                              <w:ind w:right="-517"/>
                              <w:jc w:val="left"/>
                              <w:textDirection w:val="btLr"/>
                            </w:pPr>
                            <w:r>
                              <w:rPr>
                                <w:i/>
                                <w:color w:val="1F497D"/>
                                <w:sz w:val="18"/>
                                <w:u w:val="single"/>
                              </w:rPr>
                              <w:t>www.millardcounty.org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7B07AB" w14:paraId="1849B8A7" w14:textId="77777777">
        <w:trPr>
          <w:trHeight w:val="60"/>
        </w:trPr>
        <w:tc>
          <w:tcPr>
            <w:tcW w:w="3060" w:type="dxa"/>
            <w:vMerge w:val="restart"/>
            <w:tcBorders>
              <w:top w:val="single" w:sz="12" w:space="0" w:color="1F497D"/>
              <w:left w:val="nil"/>
              <w:right w:val="single" w:sz="12" w:space="0" w:color="1F497D"/>
            </w:tcBorders>
          </w:tcPr>
          <w:p w14:paraId="6F28C040" w14:textId="77777777" w:rsidR="00E661AF" w:rsidRDefault="00E661AF" w:rsidP="00262B37">
            <w:pPr>
              <w:jc w:val="left"/>
              <w:rPr>
                <w:b/>
                <w:bCs/>
                <w:iCs/>
                <w:color w:val="1F497D" w:themeColor="text2"/>
              </w:rPr>
            </w:pPr>
          </w:p>
          <w:p w14:paraId="40DB80B1" w14:textId="6AD7AD85" w:rsidR="007B07AB" w:rsidRPr="00262B37" w:rsidRDefault="00262B37" w:rsidP="00262B37">
            <w:pPr>
              <w:jc w:val="left"/>
              <w:rPr>
                <w:b/>
                <w:bCs/>
                <w:iCs/>
                <w:color w:val="1F497D" w:themeColor="text2"/>
              </w:rPr>
            </w:pPr>
            <w:r w:rsidRPr="00262B37">
              <w:rPr>
                <w:b/>
                <w:bCs/>
                <w:iCs/>
                <w:color w:val="1F497D" w:themeColor="text2"/>
              </w:rPr>
              <w:t>Public Safety Building</w:t>
            </w:r>
            <w:r w:rsidR="00347D9B">
              <w:rPr>
                <w:b/>
                <w:bCs/>
                <w:iCs/>
                <w:color w:val="1F497D" w:themeColor="text2"/>
              </w:rPr>
              <w:t xml:space="preserve"> </w:t>
            </w:r>
          </w:p>
          <w:p w14:paraId="48B4139C" w14:textId="45951455" w:rsidR="00262B37" w:rsidRPr="00262B37" w:rsidRDefault="00262B37" w:rsidP="00262B37">
            <w:pPr>
              <w:jc w:val="left"/>
              <w:rPr>
                <w:iCs/>
              </w:rPr>
            </w:pPr>
            <w:r w:rsidRPr="00262B37">
              <w:rPr>
                <w:iCs/>
              </w:rPr>
              <w:t>765 South HWY, 99</w:t>
            </w:r>
          </w:p>
          <w:p w14:paraId="5E1D13C9" w14:textId="53B31D35" w:rsidR="00347D9B" w:rsidRPr="00262B37" w:rsidRDefault="00262B37" w:rsidP="00262B37">
            <w:pPr>
              <w:jc w:val="left"/>
              <w:rPr>
                <w:iCs/>
              </w:rPr>
            </w:pPr>
            <w:r w:rsidRPr="00262B37">
              <w:rPr>
                <w:iCs/>
              </w:rPr>
              <w:t>Fillmore, U</w:t>
            </w:r>
            <w:r w:rsidR="00B83D81">
              <w:rPr>
                <w:iCs/>
              </w:rPr>
              <w:t>T</w:t>
            </w:r>
            <w:r w:rsidRPr="00262B37">
              <w:rPr>
                <w:iCs/>
              </w:rPr>
              <w:t xml:space="preserve"> 84631</w:t>
            </w:r>
          </w:p>
          <w:p w14:paraId="2BE4328F" w14:textId="27C19669" w:rsidR="00262B37" w:rsidRPr="00262B37" w:rsidRDefault="00262B37" w:rsidP="00262B37">
            <w:pPr>
              <w:jc w:val="left"/>
              <w:rPr>
                <w:iCs/>
                <w:color w:val="548DD4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1F497D"/>
          </w:tcPr>
          <w:p w14:paraId="6C745E87" w14:textId="77777777" w:rsidR="007B07AB" w:rsidRDefault="007B07AB"/>
        </w:tc>
        <w:tc>
          <w:tcPr>
            <w:tcW w:w="738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75B654B" w14:textId="77777777" w:rsidR="007B07AB" w:rsidRDefault="007B07AB"/>
        </w:tc>
      </w:tr>
      <w:tr w:rsidR="007B07AB" w14:paraId="1429400F" w14:textId="77777777">
        <w:trPr>
          <w:trHeight w:val="1220"/>
        </w:trPr>
        <w:tc>
          <w:tcPr>
            <w:tcW w:w="3060" w:type="dxa"/>
            <w:vMerge/>
            <w:tcBorders>
              <w:top w:val="single" w:sz="12" w:space="0" w:color="1F497D"/>
              <w:left w:val="nil"/>
              <w:right w:val="single" w:sz="12" w:space="0" w:color="1F497D"/>
            </w:tcBorders>
          </w:tcPr>
          <w:p w14:paraId="5F3DA04E" w14:textId="77777777" w:rsidR="007B07AB" w:rsidRDefault="007B07AB"/>
        </w:tc>
        <w:tc>
          <w:tcPr>
            <w:tcW w:w="270" w:type="dxa"/>
            <w:tcBorders>
              <w:top w:val="single" w:sz="12" w:space="0" w:color="1F497D"/>
              <w:left w:val="nil"/>
              <w:bottom w:val="nil"/>
              <w:right w:val="single" w:sz="12" w:space="0" w:color="1F497D"/>
            </w:tcBorders>
          </w:tcPr>
          <w:p w14:paraId="5A3BAEAB" w14:textId="77777777" w:rsidR="007B07AB" w:rsidRDefault="007B07AB"/>
        </w:tc>
        <w:tc>
          <w:tcPr>
            <w:tcW w:w="7380" w:type="dxa"/>
            <w:tcBorders>
              <w:top w:val="single" w:sz="12" w:space="0" w:color="1F497D"/>
              <w:left w:val="single" w:sz="12" w:space="0" w:color="1F497D"/>
              <w:bottom w:val="nil"/>
              <w:right w:val="nil"/>
            </w:tcBorders>
          </w:tcPr>
          <w:p w14:paraId="3EA8CA43" w14:textId="13B69AB8" w:rsidR="007B07AB" w:rsidRDefault="00930FC7">
            <w:pPr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Satellite Offices – Delta </w:t>
            </w:r>
          </w:p>
          <w:p w14:paraId="6C6434A5" w14:textId="77777777" w:rsidR="007B07AB" w:rsidRDefault="00930FC7">
            <w:pPr>
              <w:jc w:val="left"/>
            </w:pPr>
            <w:r>
              <w:t>71 South 200 West ◦ P.O. Box 854</w:t>
            </w:r>
          </w:p>
          <w:p w14:paraId="5B4482A5" w14:textId="77777777" w:rsidR="007B07AB" w:rsidRDefault="00930FC7">
            <w:pPr>
              <w:jc w:val="left"/>
            </w:pPr>
            <w:r>
              <w:t>Delta, UT  84624</w:t>
            </w:r>
          </w:p>
          <w:p w14:paraId="6E54D293" w14:textId="77777777" w:rsidR="007B07AB" w:rsidRDefault="00930FC7">
            <w:pPr>
              <w:jc w:val="left"/>
            </w:pPr>
            <w:r>
              <w:t>Phone: (435) 864-1400</w:t>
            </w:r>
          </w:p>
          <w:p w14:paraId="471F3B0D" w14:textId="77777777" w:rsidR="007B07AB" w:rsidRDefault="00930FC7">
            <w:pPr>
              <w:jc w:val="left"/>
            </w:pPr>
            <w:r>
              <w:t>Fax:     (435) 864-1404</w:t>
            </w:r>
          </w:p>
        </w:tc>
      </w:tr>
    </w:tbl>
    <w:p w14:paraId="0D8B4D3A" w14:textId="77777777" w:rsidR="007B07AB" w:rsidRDefault="007B07AB"/>
    <w:p w14:paraId="341E7261" w14:textId="77777777" w:rsidR="007B07AB" w:rsidRDefault="007B07AB">
      <w:pPr>
        <w:jc w:val="left"/>
      </w:pPr>
    </w:p>
    <w:p w14:paraId="6963E568" w14:textId="193229ED" w:rsidR="00E876F3" w:rsidRDefault="005E7F9B" w:rsidP="00650901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bookmarkStart w:id="0" w:name="_gjdgxs" w:colFirst="0" w:colLast="0"/>
      <w:bookmarkEnd w:id="0"/>
      <w:r w:rsidRPr="005E7F9B">
        <w:rPr>
          <w:rFonts w:ascii="Calibri" w:hAnsi="Calibri" w:cs="Calibri"/>
          <w:color w:val="000000"/>
          <w:sz w:val="24"/>
          <w:szCs w:val="24"/>
        </w:rPr>
        <w:t>Job Announcement</w:t>
      </w:r>
    </w:p>
    <w:p w14:paraId="347F1E39" w14:textId="1BE70582" w:rsidR="005E7F9B" w:rsidRDefault="00550115" w:rsidP="005E7F9B">
      <w:pPr>
        <w:shd w:val="clear" w:color="auto" w:fill="FFFFFF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</w:t>
      </w:r>
      <w:r w:rsidR="00054D9A">
        <w:rPr>
          <w:rFonts w:ascii="Calibri" w:hAnsi="Calibri" w:cs="Calibri"/>
          <w:color w:val="000000"/>
          <w:sz w:val="24"/>
          <w:szCs w:val="24"/>
        </w:rPr>
        <w:t>0/28/2024</w:t>
      </w:r>
    </w:p>
    <w:p w14:paraId="301E3B85" w14:textId="12DE295F" w:rsidR="005E7F9B" w:rsidRDefault="005E7F9B" w:rsidP="005E7F9B">
      <w:pPr>
        <w:shd w:val="clear" w:color="auto" w:fill="FFFFFF"/>
        <w:jc w:val="right"/>
        <w:rPr>
          <w:rFonts w:ascii="Calibri" w:hAnsi="Calibri" w:cs="Calibri"/>
          <w:color w:val="000000"/>
          <w:sz w:val="24"/>
          <w:szCs w:val="24"/>
        </w:rPr>
      </w:pPr>
    </w:p>
    <w:p w14:paraId="63EA457B" w14:textId="01FA437F" w:rsidR="005C4F71" w:rsidRDefault="00993E25" w:rsidP="005C4F71">
      <w:pPr>
        <w:tabs>
          <w:tab w:val="left" w:pos="720"/>
          <w:tab w:val="left" w:pos="1296"/>
          <w:tab w:val="left" w:pos="2016"/>
          <w:tab w:val="left" w:pos="2592"/>
          <w:tab w:val="left" w:pos="7200"/>
          <w:tab w:val="left" w:pos="9504"/>
        </w:tabs>
        <w:jc w:val="both"/>
      </w:pPr>
      <w:r>
        <w:t xml:space="preserve">The </w:t>
      </w:r>
      <w:r w:rsidR="005E7F9B">
        <w:t>Millard County Road</w:t>
      </w:r>
      <w:r>
        <w:t xml:space="preserve"> Department</w:t>
      </w:r>
      <w:r w:rsidR="005E7F9B">
        <w:t xml:space="preserve"> ha</w:t>
      </w:r>
      <w:r>
        <w:t>s</w:t>
      </w:r>
      <w:r w:rsidR="005E7F9B">
        <w:t xml:space="preserve"> an opening for a full-time </w:t>
      </w:r>
      <w:r w:rsidR="00054D9A">
        <w:rPr>
          <w:b/>
          <w:bCs/>
        </w:rPr>
        <w:t xml:space="preserve">Heavy Equipment </w:t>
      </w:r>
      <w:r w:rsidR="005C4F71" w:rsidRPr="005C4F71">
        <w:rPr>
          <w:b/>
          <w:bCs/>
        </w:rPr>
        <w:t>Mechanic</w:t>
      </w:r>
      <w:r w:rsidR="005E7F9B">
        <w:t>. Th</w:t>
      </w:r>
      <w:r w:rsidR="009D55C2">
        <w:t>e</w:t>
      </w:r>
      <w:r w:rsidR="00054D9A">
        <w:t xml:space="preserve"> position of</w:t>
      </w:r>
      <w:r w:rsidR="005C4F71">
        <w:t xml:space="preserve"> Mechanic</w:t>
      </w:r>
      <w:r w:rsidR="005E7F9B">
        <w:t xml:space="preserve"> will </w:t>
      </w:r>
      <w:r w:rsidR="00722F23">
        <w:t xml:space="preserve">manage the day-to-day </w:t>
      </w:r>
      <w:r w:rsidR="00054D9A">
        <w:t xml:space="preserve">mechanical needs and </w:t>
      </w:r>
      <w:r w:rsidR="00722F23">
        <w:t xml:space="preserve">operations of the </w:t>
      </w:r>
      <w:r w:rsidR="00054D9A">
        <w:t>Millard County fleet of vehicles and equipment</w:t>
      </w:r>
      <w:r w:rsidR="00722F23">
        <w:t xml:space="preserve"> and perform </w:t>
      </w:r>
      <w:r w:rsidR="005C4F71">
        <w:t>skilled tasks related to the maintenance, repair, and rebuilding of county mechanized diesel and gas equipment.  Duties may be performed in county facilities or in the field.</w:t>
      </w:r>
    </w:p>
    <w:p w14:paraId="7A32117E" w14:textId="2D786F7A" w:rsidR="005E7F9B" w:rsidRDefault="005E7F9B" w:rsidP="005E7F9B">
      <w:pPr>
        <w:shd w:val="clear" w:color="auto" w:fill="FFFFFF"/>
        <w:jc w:val="left"/>
      </w:pPr>
    </w:p>
    <w:p w14:paraId="605E4A9F" w14:textId="77777777" w:rsidR="005C4F71" w:rsidRDefault="005C4F71" w:rsidP="005C4F71">
      <w:pPr>
        <w:tabs>
          <w:tab w:val="left" w:pos="720"/>
          <w:tab w:val="left" w:pos="1296"/>
          <w:tab w:val="left" w:pos="2016"/>
          <w:tab w:val="left" w:pos="2592"/>
          <w:tab w:val="left" w:pos="7200"/>
          <w:tab w:val="left" w:pos="9504"/>
        </w:tabs>
        <w:ind w:left="1296" w:hanging="1296"/>
        <w:jc w:val="both"/>
      </w:pPr>
      <w:r>
        <w:t xml:space="preserve">Applicants must have a current Utah CDL and a minimum of Six (6) years of experience in major repair of a </w:t>
      </w:r>
    </w:p>
    <w:p w14:paraId="3C753334" w14:textId="030EE033" w:rsidR="00722F23" w:rsidRDefault="005C4F71" w:rsidP="002C18B8">
      <w:pPr>
        <w:tabs>
          <w:tab w:val="left" w:pos="720"/>
          <w:tab w:val="left" w:pos="1296"/>
          <w:tab w:val="left" w:pos="2016"/>
          <w:tab w:val="left" w:pos="2592"/>
          <w:tab w:val="left" w:pos="7200"/>
          <w:tab w:val="left" w:pos="9504"/>
        </w:tabs>
        <w:ind w:left="1296" w:hanging="1296"/>
        <w:jc w:val="both"/>
      </w:pPr>
      <w:r>
        <w:t xml:space="preserve">variety of gas and diesel vehicles.  </w:t>
      </w:r>
      <w:r w:rsidR="002C18B8">
        <w:t>Preference will be given to candidates who are ASE certified.</w:t>
      </w:r>
    </w:p>
    <w:p w14:paraId="2F8EA05C" w14:textId="77777777" w:rsidR="00722F23" w:rsidRDefault="00722F23" w:rsidP="005E7F9B">
      <w:pPr>
        <w:shd w:val="clear" w:color="auto" w:fill="FFFFFF"/>
        <w:jc w:val="left"/>
      </w:pPr>
    </w:p>
    <w:p w14:paraId="40D2E0DD" w14:textId="72F1B28E" w:rsidR="00722F23" w:rsidRDefault="005E7F9B" w:rsidP="005E7F9B">
      <w:pPr>
        <w:shd w:val="clear" w:color="auto" w:fill="FFFFFF"/>
        <w:jc w:val="left"/>
      </w:pPr>
      <w:r>
        <w:t>Starting wage</w:t>
      </w:r>
      <w:r w:rsidR="00054D9A">
        <w:t xml:space="preserve"> will be negotiated based on experience and skill level</w:t>
      </w:r>
      <w:r w:rsidR="002E2E34">
        <w:t xml:space="preserve"> </w:t>
      </w:r>
      <w:r w:rsidR="002C18B8">
        <w:t xml:space="preserve">and </w:t>
      </w:r>
      <w:r>
        <w:t xml:space="preserve">will follow the Millard County Step &amp; Grade recommendation. </w:t>
      </w:r>
    </w:p>
    <w:p w14:paraId="24E0E5D1" w14:textId="77777777" w:rsidR="00054D9A" w:rsidRDefault="00054D9A" w:rsidP="005E7F9B">
      <w:pPr>
        <w:shd w:val="clear" w:color="auto" w:fill="FFFFFF"/>
        <w:jc w:val="left"/>
      </w:pPr>
    </w:p>
    <w:p w14:paraId="011F4577" w14:textId="39B4A5DC" w:rsidR="00722F23" w:rsidRDefault="00722F23" w:rsidP="005E7F9B">
      <w:pPr>
        <w:shd w:val="clear" w:color="auto" w:fill="FFFFFF"/>
        <w:jc w:val="left"/>
      </w:pPr>
      <w:r>
        <w:t xml:space="preserve">Applications and a full job description can be found at millardcounty.org.  </w:t>
      </w:r>
      <w:r w:rsidR="005E7F9B">
        <w:t xml:space="preserve">Qualified candidates </w:t>
      </w:r>
      <w:r>
        <w:t>may</w:t>
      </w:r>
      <w:r w:rsidR="005E7F9B">
        <w:t xml:space="preserve"> submit</w:t>
      </w:r>
      <w:r>
        <w:t xml:space="preserve"> an application, resume, </w:t>
      </w:r>
      <w:r w:rsidR="009D55C2">
        <w:t xml:space="preserve">and </w:t>
      </w:r>
      <w:r w:rsidR="005E7F9B">
        <w:t>a copy of applicants driving record (available at any Utah Drivers License Office</w:t>
      </w:r>
      <w:r>
        <w:t>)</w:t>
      </w:r>
      <w:r w:rsidR="005E7F9B">
        <w:t xml:space="preserve"> </w:t>
      </w:r>
      <w:r>
        <w:t xml:space="preserve">to </w:t>
      </w:r>
      <w:r w:rsidR="009D55C2">
        <w:t xml:space="preserve">the Millard County Clerks Office at 765 S HWY 99, Ste #6 Fillmore or by email </w:t>
      </w:r>
      <w:r w:rsidR="00054D9A">
        <w:t xml:space="preserve">to </w:t>
      </w:r>
      <w:hyperlink r:id="rId7" w:history="1">
        <w:r w:rsidR="00054D9A" w:rsidRPr="008E61D2">
          <w:rPr>
            <w:rStyle w:val="Hyperlink"/>
          </w:rPr>
          <w:t>JNielson@co.millard.ut.us</w:t>
        </w:r>
      </w:hyperlink>
      <w:r w:rsidR="00054D9A">
        <w:t xml:space="preserve"> This posting will remain open until filled</w:t>
      </w:r>
    </w:p>
    <w:p w14:paraId="7254AAC0" w14:textId="77777777" w:rsidR="00722F23" w:rsidRDefault="00722F23" w:rsidP="005E7F9B">
      <w:pPr>
        <w:shd w:val="clear" w:color="auto" w:fill="FFFFFF"/>
        <w:jc w:val="left"/>
      </w:pPr>
    </w:p>
    <w:p w14:paraId="6FE5E2FF" w14:textId="22488858" w:rsidR="005E7F9B" w:rsidRPr="005E7F9B" w:rsidRDefault="005E7F9B" w:rsidP="009D55C2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>
        <w:t>Millard County is an Equal Opportunity Employer</w:t>
      </w:r>
    </w:p>
    <w:sectPr w:rsidR="005E7F9B" w:rsidRPr="005E7F9B">
      <w:footerReference w:type="default" r:id="rId8"/>
      <w:pgSz w:w="12240" w:h="15840"/>
      <w:pgMar w:top="1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AB39E" w14:textId="77777777" w:rsidR="0077755B" w:rsidRDefault="0077755B">
      <w:r>
        <w:separator/>
      </w:r>
    </w:p>
  </w:endnote>
  <w:endnote w:type="continuationSeparator" w:id="0">
    <w:p w14:paraId="34F2AD6B" w14:textId="77777777" w:rsidR="0077755B" w:rsidRDefault="0077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inyon Scrip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5078" w14:textId="77777777" w:rsidR="007B07AB" w:rsidRDefault="00930FC7">
    <w:pPr>
      <w:pBdr>
        <w:top w:val="nil"/>
        <w:left w:val="nil"/>
        <w:bottom w:val="nil"/>
        <w:right w:val="nil"/>
        <w:between w:val="nil"/>
      </w:pBdr>
      <w:tabs>
        <w:tab w:val="left" w:pos="375"/>
        <w:tab w:val="center" w:pos="4939"/>
      </w:tabs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9CD5E" w14:textId="77777777" w:rsidR="0077755B" w:rsidRDefault="0077755B">
      <w:r>
        <w:separator/>
      </w:r>
    </w:p>
  </w:footnote>
  <w:footnote w:type="continuationSeparator" w:id="0">
    <w:p w14:paraId="002B1F31" w14:textId="77777777" w:rsidR="0077755B" w:rsidRDefault="00777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AB"/>
    <w:rsid w:val="00054D9A"/>
    <w:rsid w:val="00092260"/>
    <w:rsid w:val="00141060"/>
    <w:rsid w:val="001E2665"/>
    <w:rsid w:val="00262B37"/>
    <w:rsid w:val="002C18B8"/>
    <w:rsid w:val="002E2E34"/>
    <w:rsid w:val="00347D9B"/>
    <w:rsid w:val="003E5687"/>
    <w:rsid w:val="00417F5B"/>
    <w:rsid w:val="0044230B"/>
    <w:rsid w:val="00550115"/>
    <w:rsid w:val="005C4F71"/>
    <w:rsid w:val="005C5110"/>
    <w:rsid w:val="005E7F9B"/>
    <w:rsid w:val="00650901"/>
    <w:rsid w:val="006C2B7A"/>
    <w:rsid w:val="006E5914"/>
    <w:rsid w:val="00722F23"/>
    <w:rsid w:val="00750663"/>
    <w:rsid w:val="0077755B"/>
    <w:rsid w:val="007B07AB"/>
    <w:rsid w:val="007D5944"/>
    <w:rsid w:val="008F7A86"/>
    <w:rsid w:val="00926A67"/>
    <w:rsid w:val="00930FC7"/>
    <w:rsid w:val="0095349B"/>
    <w:rsid w:val="00987672"/>
    <w:rsid w:val="00993E25"/>
    <w:rsid w:val="009B39FD"/>
    <w:rsid w:val="009D55C2"/>
    <w:rsid w:val="00B40D99"/>
    <w:rsid w:val="00B65FD6"/>
    <w:rsid w:val="00B83D81"/>
    <w:rsid w:val="00B84312"/>
    <w:rsid w:val="00D46A5A"/>
    <w:rsid w:val="00D64193"/>
    <w:rsid w:val="00D8342B"/>
    <w:rsid w:val="00E661AF"/>
    <w:rsid w:val="00E876F3"/>
    <w:rsid w:val="00EE75C1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FE0F"/>
  <w15:docId w15:val="{992C6727-FA59-4CE1-B0F8-398B97CE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ind w:right="-518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E26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65"/>
    <w:rPr>
      <w:color w:val="605E5C"/>
      <w:shd w:val="clear" w:color="auto" w:fill="E1DFDD"/>
    </w:rPr>
  </w:style>
  <w:style w:type="paragraph" w:customStyle="1" w:styleId="a0">
    <w:name w:val=""/>
    <w:uiPriority w:val="99"/>
    <w:rsid w:val="00E876F3"/>
    <w:pPr>
      <w:autoSpaceDE w:val="0"/>
      <w:autoSpaceDN w:val="0"/>
      <w:adjustRightInd w:val="0"/>
      <w:ind w:left="-1440" w:right="0"/>
      <w:jc w:val="left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Nielson@co.millard.ut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jhair</dc:creator>
  <cp:lastModifiedBy>Jacob Nielson</cp:lastModifiedBy>
  <cp:revision>3</cp:revision>
  <cp:lastPrinted>2022-03-04T18:13:00Z</cp:lastPrinted>
  <dcterms:created xsi:type="dcterms:W3CDTF">2024-10-28T15:06:00Z</dcterms:created>
  <dcterms:modified xsi:type="dcterms:W3CDTF">2024-10-28T15:13:00Z</dcterms:modified>
</cp:coreProperties>
</file>