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071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270"/>
        <w:gridCol w:w="7380"/>
        <w:tblGridChange w:id="0">
          <w:tblGrid>
            <w:gridCol w:w="3060"/>
            <w:gridCol w:w="270"/>
            <w:gridCol w:w="7380"/>
          </w:tblGrid>
        </w:tblGridChange>
      </w:tblGrid>
      <w:tr>
        <w:trPr>
          <w:cantSplit w:val="0"/>
          <w:trHeight w:val="1140" w:hRule="atLeast"/>
          <w:tblHeader w:val="0"/>
        </w:trPr>
        <w:tc>
          <w:tcPr>
            <w:tcBorders>
              <w:top w:color="000000" w:space="0" w:sz="0" w:val="nil"/>
              <w:left w:color="000000" w:space="0" w:sz="0" w:val="nil"/>
              <w:bottom w:color="1f497d" w:space="0" w:sz="12" w:val="single"/>
              <w:right w:color="1f497d" w:space="0" w:sz="12" w:val="single"/>
            </w:tcBorders>
          </w:tcPr>
          <w:p w:rsidR="00000000" w:rsidDel="00000000" w:rsidP="00000000" w:rsidRDefault="00000000" w:rsidRPr="00000000" w14:paraId="00000003">
            <w:pPr>
              <w:jc w:val="left"/>
              <w:rPr>
                <w:b w:val="1"/>
                <w:color w:val="002060"/>
              </w:rPr>
            </w:pPr>
            <w:r w:rsidDel="00000000" w:rsidR="00000000" w:rsidRPr="00000000">
              <w:rPr>
                <w:b w:val="1"/>
                <w:color w:val="002060"/>
                <w:rtl w:val="0"/>
              </w:rPr>
              <w:t xml:space="preserve">Courthouse - Fillmore</w:t>
            </w:r>
          </w:p>
          <w:p w:rsidR="00000000" w:rsidDel="00000000" w:rsidP="00000000" w:rsidRDefault="00000000" w:rsidRPr="00000000" w14:paraId="00000004">
            <w:pPr>
              <w:jc w:val="left"/>
              <w:rPr/>
            </w:pPr>
            <w:r w:rsidDel="00000000" w:rsidR="00000000" w:rsidRPr="00000000">
              <w:rPr>
                <w:rtl w:val="0"/>
              </w:rPr>
              <w:t xml:space="preserve">50 South Main</w:t>
            </w:r>
          </w:p>
          <w:p w:rsidR="00000000" w:rsidDel="00000000" w:rsidP="00000000" w:rsidRDefault="00000000" w:rsidRPr="00000000" w14:paraId="00000005">
            <w:pPr>
              <w:jc w:val="left"/>
              <w:rPr/>
            </w:pPr>
            <w:r w:rsidDel="00000000" w:rsidR="00000000" w:rsidRPr="00000000">
              <w:rPr>
                <w:rtl w:val="0"/>
              </w:rPr>
              <w:t xml:space="preserve">Fillmore, UT  84631-5504</w:t>
            </w:r>
          </w:p>
          <w:p w:rsidR="00000000" w:rsidDel="00000000" w:rsidP="00000000" w:rsidRDefault="00000000" w:rsidRPr="00000000" w14:paraId="00000006">
            <w:pPr>
              <w:jc w:val="left"/>
              <w:rPr/>
            </w:pPr>
            <w:r w:rsidDel="00000000" w:rsidR="00000000" w:rsidRPr="00000000">
              <w:rPr>
                <w:rtl w:val="0"/>
              </w:rPr>
              <w:t xml:space="preserve">Fax: (435) 743-8019</w:t>
            </w:r>
          </w:p>
          <w:p w:rsidR="00000000" w:rsidDel="00000000" w:rsidP="00000000" w:rsidRDefault="00000000" w:rsidRPr="00000000" w14:paraId="00000007">
            <w:pPr>
              <w:jc w:val="left"/>
              <w:rPr/>
            </w:pPr>
            <w:r w:rsidDel="00000000" w:rsidR="00000000" w:rsidRPr="00000000">
              <w:rPr>
                <w:rtl w:val="0"/>
              </w:rPr>
              <w:t xml:space="preserve">Commission Secretary:</w:t>
            </w:r>
          </w:p>
          <w:p w:rsidR="00000000" w:rsidDel="00000000" w:rsidP="00000000" w:rsidRDefault="00000000" w:rsidRPr="00000000" w14:paraId="00000008">
            <w:pPr>
              <w:jc w:val="left"/>
              <w:rPr/>
            </w:pPr>
            <w:r w:rsidDel="00000000" w:rsidR="00000000" w:rsidRPr="00000000">
              <w:rPr>
                <w:rtl w:val="0"/>
              </w:rPr>
              <w:t xml:space="preserve">(435) 743-6223</w:t>
            </w:r>
          </w:p>
          <w:p w:rsidR="00000000" w:rsidDel="00000000" w:rsidP="00000000" w:rsidRDefault="00000000" w:rsidRPr="00000000" w14:paraId="00000009">
            <w:pPr>
              <w:jc w:val="left"/>
              <w:rPr/>
            </w:pPr>
            <w:r w:rsidDel="00000000" w:rsidR="00000000" w:rsidRPr="00000000">
              <w:rPr>
                <w:rtl w:val="0"/>
              </w:rPr>
              <w:t xml:space="preserve">Fax: (435) 743-6923</w:t>
            </w:r>
          </w:p>
        </w:tc>
        <w:tc>
          <w:tcPr>
            <w:tcBorders>
              <w:top w:color="000000" w:space="0" w:sz="0" w:val="nil"/>
              <w:left w:color="1f497d" w:space="0" w:sz="12" w:val="single"/>
              <w:bottom w:color="1f497d" w:space="0" w:sz="12" w:val="single"/>
              <w:right w:color="000000" w:space="0" w:sz="0" w:val="nil"/>
            </w:tcBorders>
          </w:tcPr>
          <w:p w:rsidR="00000000" w:rsidDel="00000000" w:rsidP="00000000" w:rsidRDefault="00000000" w:rsidRPr="00000000" w14:paraId="0000000A">
            <w:pPr>
              <w:rPr/>
            </w:pPr>
            <w:r w:rsidDel="00000000" w:rsidR="00000000" w:rsidRPr="00000000">
              <w:rPr>
                <w:rtl w:val="0"/>
              </w:rPr>
            </w:r>
          </w:p>
        </w:tc>
        <w:tc>
          <w:tcPr>
            <w:vMerge w:val="restart"/>
            <w:tcBorders>
              <w:top w:color="000000" w:space="0" w:sz="0" w:val="nil"/>
              <w:left w:color="000000" w:space="0" w:sz="0" w:val="nil"/>
              <w:right w:color="000000" w:space="0" w:sz="0" w:val="nil"/>
            </w:tcBorders>
            <w:vAlign w:val="center"/>
          </w:tcPr>
          <w:p w:rsidR="00000000" w:rsidDel="00000000" w:rsidP="00000000" w:rsidRDefault="00000000" w:rsidRPr="00000000" w14:paraId="0000000B">
            <w:pPr>
              <w:jc w:val="left"/>
              <w:rPr>
                <w:rFonts w:ascii="Pinyon Script" w:cs="Pinyon Script" w:eastAsia="Pinyon Script" w:hAnsi="Pinyon Script"/>
                <w:b w:val="1"/>
                <w:sz w:val="72"/>
                <w:szCs w:val="72"/>
              </w:rPr>
            </w:pPr>
            <w:r w:rsidDel="00000000" w:rsidR="00000000" w:rsidRPr="00000000">
              <w:rPr>
                <w:rFonts w:ascii="Pinyon Script" w:cs="Pinyon Script" w:eastAsia="Pinyon Script" w:hAnsi="Pinyon Script"/>
                <w:b w:val="1"/>
                <w:color w:val="17365d"/>
                <w:sz w:val="72"/>
                <w:szCs w:val="72"/>
                <w:rtl w:val="0"/>
              </w:rPr>
              <w:t xml:space="preserve">    Millard County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1257300</wp:posOffset>
                      </wp:positionH>
                      <wp:positionV relativeFrom="paragraph">
                        <wp:posOffset>533400</wp:posOffset>
                      </wp:positionV>
                      <wp:extent cx="1483995" cy="304800"/>
                      <wp:effectExtent b="0" l="0" r="0" t="0"/>
                      <wp:wrapSquare wrapText="bothSides" distB="0" distT="0" distL="0" distR="0"/>
                      <wp:docPr id="5" name=""/>
                      <a:graphic>
                        <a:graphicData uri="http://schemas.microsoft.com/office/word/2010/wordprocessingShape">
                          <wps:wsp>
                            <wps:cNvSpPr/>
                            <wps:cNvPr id="2" name="Shape 2"/>
                            <wps:spPr>
                              <a:xfrm>
                                <a:off x="4632578" y="3656175"/>
                                <a:ext cx="1426845" cy="247650"/>
                              </a:xfrm>
                              <a:prstGeom prst="rect">
                                <a:avLst/>
                              </a:prstGeom>
                              <a:solidFill>
                                <a:srgbClr val="FFFFFF"/>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517.0000076293945" w:firstLine="0"/>
                                    <w:jc w:val="left"/>
                                    <w:textDirection w:val="btLr"/>
                                  </w:pPr>
                                  <w:r w:rsidDel="00000000" w:rsidR="00000000" w:rsidRPr="00000000">
                                    <w:rPr>
                                      <w:rFonts w:ascii="Arial" w:cs="Arial" w:eastAsia="Arial" w:hAnsi="Arial"/>
                                      <w:b w:val="0"/>
                                      <w:i w:val="1"/>
                                      <w:smallCaps w:val="0"/>
                                      <w:strike w:val="0"/>
                                      <w:color w:val="1f497d"/>
                                      <w:sz w:val="18"/>
                                      <w:u w:val="single"/>
                                      <w:vertAlign w:val="baseline"/>
                                    </w:rPr>
                                    <w:t xml:space="preserve">www.millardcounty.org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1257300</wp:posOffset>
                      </wp:positionH>
                      <wp:positionV relativeFrom="paragraph">
                        <wp:posOffset>533400</wp:posOffset>
                      </wp:positionV>
                      <wp:extent cx="1483995" cy="30480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83995" cy="304800"/>
                              </a:xfrm>
                              <a:prstGeom prst="rect"/>
                              <a:ln/>
                            </pic:spPr>
                          </pic:pic>
                        </a:graphicData>
                      </a:graphic>
                    </wp:anchor>
                  </w:drawing>
                </mc:Fallback>
              </mc:AlternateContent>
            </w:r>
          </w:p>
        </w:tc>
      </w:tr>
      <w:tr>
        <w:trPr>
          <w:cantSplit w:val="0"/>
          <w:trHeight w:val="60" w:hRule="atLeast"/>
          <w:tblHeader w:val="0"/>
        </w:trPr>
        <w:tc>
          <w:tcPr>
            <w:vMerge w:val="restart"/>
            <w:tcBorders>
              <w:top w:color="1f497d" w:space="0" w:sz="12" w:val="single"/>
              <w:left w:color="000000" w:space="0" w:sz="0" w:val="nil"/>
              <w:right w:color="1f497d" w:space="0" w:sz="12" w:val="single"/>
            </w:tcBorders>
          </w:tcPr>
          <w:p w:rsidR="00000000" w:rsidDel="00000000" w:rsidP="00000000" w:rsidRDefault="00000000" w:rsidRPr="00000000" w14:paraId="0000000C">
            <w:pPr>
              <w:rPr>
                <w:i w:val="1"/>
                <w:color w:val="548dd4"/>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493395</wp:posOffset>
                  </wp:positionH>
                  <wp:positionV relativeFrom="paragraph">
                    <wp:posOffset>53975</wp:posOffset>
                  </wp:positionV>
                  <wp:extent cx="1080135" cy="8858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80135" cy="885825"/>
                          </a:xfrm>
                          <a:prstGeom prst="rect"/>
                          <a:ln/>
                        </pic:spPr>
                      </pic:pic>
                    </a:graphicData>
                  </a:graphic>
                </wp:anchor>
              </w:drawing>
            </w:r>
          </w:p>
        </w:tc>
        <w:tc>
          <w:tcPr>
            <w:tcBorders>
              <w:top w:color="1f497d" w:space="0" w:sz="12" w:val="single"/>
              <w:left w:color="1f497d" w:space="0" w:sz="12" w:val="single"/>
              <w:bottom w:color="1f497d" w:space="0" w:sz="12" w:val="single"/>
              <w:right w:color="1f497d" w:space="0" w:sz="12" w:val="single"/>
            </w:tcBorders>
            <w:shd w:fill="1f497d" w:val="clear"/>
          </w:tcPr>
          <w:p w:rsidR="00000000" w:rsidDel="00000000" w:rsidP="00000000" w:rsidRDefault="00000000" w:rsidRPr="00000000" w14:paraId="0000000D">
            <w:pPr>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20" w:hRule="atLeast"/>
          <w:tblHeader w:val="0"/>
        </w:trPr>
        <w:tc>
          <w:tcPr>
            <w:vMerge w:val="continue"/>
            <w:tcBorders>
              <w:top w:color="1f497d" w:space="0" w:sz="12" w:val="single"/>
              <w:left w:color="000000" w:space="0" w:sz="0" w:val="nil"/>
              <w:right w:color="1f497d" w:space="0" w:sz="12"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1f497d" w:space="0" w:sz="12" w:val="single"/>
              <w:left w:color="000000" w:space="0" w:sz="0" w:val="nil"/>
              <w:bottom w:color="000000" w:space="0" w:sz="0" w:val="nil"/>
              <w:right w:color="1f497d" w:space="0" w:sz="12" w:val="single"/>
            </w:tcBorders>
          </w:tcPr>
          <w:p w:rsidR="00000000" w:rsidDel="00000000" w:rsidP="00000000" w:rsidRDefault="00000000" w:rsidRPr="00000000" w14:paraId="00000010">
            <w:pPr>
              <w:rPr/>
            </w:pPr>
            <w:r w:rsidDel="00000000" w:rsidR="00000000" w:rsidRPr="00000000">
              <w:rPr>
                <w:rtl w:val="0"/>
              </w:rPr>
            </w:r>
          </w:p>
        </w:tc>
        <w:tc>
          <w:tcPr>
            <w:tcBorders>
              <w:top w:color="1f497d" w:space="0" w:sz="12" w:val="single"/>
              <w:left w:color="1f497d" w:space="0" w:sz="12" w:val="single"/>
              <w:bottom w:color="000000" w:space="0" w:sz="0" w:val="nil"/>
              <w:right w:color="000000" w:space="0" w:sz="0" w:val="nil"/>
            </w:tcBorders>
          </w:tcPr>
          <w:p w:rsidR="00000000" w:rsidDel="00000000" w:rsidP="00000000" w:rsidRDefault="00000000" w:rsidRPr="00000000" w14:paraId="00000011">
            <w:pPr>
              <w:jc w:val="left"/>
              <w:rPr>
                <w:b w:val="1"/>
                <w:color w:val="002060"/>
              </w:rPr>
            </w:pPr>
            <w:r w:rsidDel="00000000" w:rsidR="00000000" w:rsidRPr="00000000">
              <w:rPr>
                <w:b w:val="1"/>
                <w:color w:val="002060"/>
                <w:rtl w:val="0"/>
              </w:rPr>
              <w:t xml:space="preserve">Satellite Offices – Delta </w:t>
            </w:r>
          </w:p>
          <w:p w:rsidR="00000000" w:rsidDel="00000000" w:rsidP="00000000" w:rsidRDefault="00000000" w:rsidRPr="00000000" w14:paraId="00000012">
            <w:pPr>
              <w:jc w:val="left"/>
              <w:rPr/>
            </w:pPr>
            <w:r w:rsidDel="00000000" w:rsidR="00000000" w:rsidRPr="00000000">
              <w:rPr>
                <w:rtl w:val="0"/>
              </w:rPr>
              <w:t xml:space="preserve">71 South 200 West ◦ P.O. Box 854</w:t>
            </w:r>
          </w:p>
          <w:p w:rsidR="00000000" w:rsidDel="00000000" w:rsidP="00000000" w:rsidRDefault="00000000" w:rsidRPr="00000000" w14:paraId="00000013">
            <w:pPr>
              <w:jc w:val="left"/>
              <w:rPr/>
            </w:pPr>
            <w:r w:rsidDel="00000000" w:rsidR="00000000" w:rsidRPr="00000000">
              <w:rPr>
                <w:rtl w:val="0"/>
              </w:rPr>
              <w:t xml:space="preserve">Delta, UT  84624</w:t>
            </w:r>
          </w:p>
          <w:p w:rsidR="00000000" w:rsidDel="00000000" w:rsidP="00000000" w:rsidRDefault="00000000" w:rsidRPr="00000000" w14:paraId="00000014">
            <w:pPr>
              <w:jc w:val="left"/>
              <w:rPr/>
            </w:pPr>
            <w:r w:rsidDel="00000000" w:rsidR="00000000" w:rsidRPr="00000000">
              <w:rPr>
                <w:rtl w:val="0"/>
              </w:rPr>
              <w:t xml:space="preserve">Phone: (435) 864-1400</w:t>
            </w:r>
          </w:p>
          <w:p w:rsidR="00000000" w:rsidDel="00000000" w:rsidP="00000000" w:rsidRDefault="00000000" w:rsidRPr="00000000" w14:paraId="00000015">
            <w:pPr>
              <w:jc w:val="left"/>
              <w:rPr/>
            </w:pPr>
            <w:r w:rsidDel="00000000" w:rsidR="00000000" w:rsidRPr="00000000">
              <w:rPr>
                <w:rtl w:val="0"/>
              </w:rPr>
              <w:t xml:space="preserve">Fax:     (435) 864-1404</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ind w:left="2880" w:firstLine="720"/>
        <w:jc w:val="left"/>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ind w:left="2880" w:firstLine="720"/>
        <w:jc w:val="left"/>
        <w:rPr/>
      </w:pPr>
      <w:bookmarkStart w:colFirst="0" w:colLast="0" w:name="_heading=h.1fob9te" w:id="2"/>
      <w:bookmarkEnd w:id="2"/>
      <w:r w:rsidDel="00000000" w:rsidR="00000000" w:rsidRPr="00000000">
        <w:rPr>
          <w:rtl w:val="0"/>
        </w:rPr>
      </w:r>
    </w:p>
    <w:p w:rsidR="00000000" w:rsidDel="00000000" w:rsidP="00000000" w:rsidRDefault="00000000" w:rsidRPr="00000000" w14:paraId="0000001A">
      <w:pPr>
        <w:jc w:val="left"/>
        <w:rPr/>
      </w:pPr>
      <w:bookmarkStart w:colFirst="0" w:colLast="0" w:name="_heading=h.3znysh7" w:id="3"/>
      <w:bookmarkEnd w:id="3"/>
      <w:r w:rsidDel="00000000" w:rsidR="00000000" w:rsidRPr="00000000">
        <w:rPr>
          <w:rtl w:val="0"/>
        </w:rPr>
        <w:t xml:space="preserve">May 30, 2024</w:t>
      </w:r>
    </w:p>
    <w:p w:rsidR="00000000" w:rsidDel="00000000" w:rsidP="00000000" w:rsidRDefault="00000000" w:rsidRPr="00000000" w14:paraId="0000001B">
      <w:pPr>
        <w:jc w:val="left"/>
        <w:rPr/>
      </w:pPr>
      <w:bookmarkStart w:colFirst="0" w:colLast="0" w:name="_heading=h.hkaugc0x12h" w:id="4"/>
      <w:bookmarkEnd w:id="4"/>
      <w:r w:rsidDel="00000000" w:rsidR="00000000" w:rsidRPr="00000000">
        <w:rPr>
          <w:rtl w:val="0"/>
        </w:rPr>
      </w:r>
    </w:p>
    <w:p w:rsidR="00000000" w:rsidDel="00000000" w:rsidP="00000000" w:rsidRDefault="00000000" w:rsidRPr="00000000" w14:paraId="0000001C">
      <w:pPr>
        <w:jc w:val="left"/>
        <w:rPr>
          <w:b w:val="1"/>
        </w:rPr>
      </w:pPr>
      <w:bookmarkStart w:colFirst="0" w:colLast="0" w:name="_heading=h.p6o14p26qune" w:id="5"/>
      <w:bookmarkEnd w:id="5"/>
      <w:r w:rsidDel="00000000" w:rsidR="00000000" w:rsidRPr="00000000">
        <w:rPr>
          <w:rtl w:val="0"/>
        </w:rPr>
      </w:r>
    </w:p>
    <w:p w:rsidR="00000000" w:rsidDel="00000000" w:rsidP="00000000" w:rsidRDefault="00000000" w:rsidRPr="00000000" w14:paraId="0000001D">
      <w:pPr>
        <w:rPr>
          <w:b w:val="1"/>
        </w:rPr>
      </w:pPr>
      <w:bookmarkStart w:colFirst="0" w:colLast="0" w:name="_heading=h.xickkt9b673c" w:id="6"/>
      <w:bookmarkEnd w:id="6"/>
      <w:r w:rsidDel="00000000" w:rsidR="00000000" w:rsidRPr="00000000">
        <w:rPr>
          <w:b w:val="1"/>
          <w:rtl w:val="0"/>
        </w:rPr>
        <w:t xml:space="preserve">Job Announcement </w:t>
      </w:r>
    </w:p>
    <w:p w:rsidR="00000000" w:rsidDel="00000000" w:rsidP="00000000" w:rsidRDefault="00000000" w:rsidRPr="00000000" w14:paraId="0000001E">
      <w:pPr>
        <w:jc w:val="left"/>
        <w:rPr/>
      </w:pPr>
      <w:bookmarkStart w:colFirst="0" w:colLast="0" w:name="_heading=h.jj8k25v9750j" w:id="7"/>
      <w:bookmarkEnd w:id="7"/>
      <w:r w:rsidDel="00000000" w:rsidR="00000000" w:rsidRPr="00000000">
        <w:rPr>
          <w:rtl w:val="0"/>
        </w:rPr>
      </w:r>
    </w:p>
    <w:p w:rsidR="00000000" w:rsidDel="00000000" w:rsidP="00000000" w:rsidRDefault="00000000" w:rsidRPr="00000000" w14:paraId="0000001F">
      <w:pPr>
        <w:jc w:val="left"/>
        <w:rPr/>
      </w:pPr>
      <w:bookmarkStart w:colFirst="0" w:colLast="0" w:name="_heading=h.hshfplu0yohc" w:id="8"/>
      <w:bookmarkEnd w:id="8"/>
      <w:r w:rsidDel="00000000" w:rsidR="00000000" w:rsidRPr="00000000">
        <w:rPr>
          <w:rtl w:val="0"/>
        </w:rPr>
        <w:t xml:space="preserve">Millard County Road Department is currently accepting applications for a full time heavy equipment operator. Applicant must have a current Utah CDL (Commercial Drivers License) and a current ICC physical card. Candidates should have experience operating heavy equipment. </w:t>
      </w:r>
    </w:p>
    <w:p w:rsidR="00000000" w:rsidDel="00000000" w:rsidP="00000000" w:rsidRDefault="00000000" w:rsidRPr="00000000" w14:paraId="00000020">
      <w:pPr>
        <w:jc w:val="left"/>
        <w:rPr/>
      </w:pPr>
      <w:bookmarkStart w:colFirst="0" w:colLast="0" w:name="_heading=h.5t63ure87wma" w:id="9"/>
      <w:bookmarkEnd w:id="9"/>
      <w:r w:rsidDel="00000000" w:rsidR="00000000" w:rsidRPr="00000000">
        <w:rPr>
          <w:rtl w:val="0"/>
        </w:rPr>
      </w:r>
    </w:p>
    <w:p w:rsidR="00000000" w:rsidDel="00000000" w:rsidP="00000000" w:rsidRDefault="00000000" w:rsidRPr="00000000" w14:paraId="00000021">
      <w:pPr>
        <w:jc w:val="left"/>
        <w:rPr/>
      </w:pPr>
      <w:bookmarkStart w:colFirst="0" w:colLast="0" w:name="_heading=h.5g2r2kbpwtn8" w:id="10"/>
      <w:bookmarkEnd w:id="10"/>
      <w:r w:rsidDel="00000000" w:rsidR="00000000" w:rsidRPr="00000000">
        <w:rPr>
          <w:rtl w:val="0"/>
        </w:rPr>
        <w:t xml:space="preserve">This position is responsible for maintenance on assigned equipment and all other work assigned and directed by the Road Supervisor. Employees may be required to lift items not exceeding 100 pounds and have tolerance for working in extreme weather conditions. Applicant must be able to work well with fellow employees.</w:t>
      </w:r>
    </w:p>
    <w:p w:rsidR="00000000" w:rsidDel="00000000" w:rsidP="00000000" w:rsidRDefault="00000000" w:rsidRPr="00000000" w14:paraId="00000022">
      <w:pPr>
        <w:jc w:val="left"/>
        <w:rPr/>
      </w:pPr>
      <w:bookmarkStart w:colFirst="0" w:colLast="0" w:name="_heading=h.tlbr5pdt9q73" w:id="11"/>
      <w:bookmarkEnd w:id="11"/>
      <w:r w:rsidDel="00000000" w:rsidR="00000000" w:rsidRPr="00000000">
        <w:rPr>
          <w:rtl w:val="0"/>
        </w:rPr>
      </w:r>
    </w:p>
    <w:p w:rsidR="00000000" w:rsidDel="00000000" w:rsidP="00000000" w:rsidRDefault="00000000" w:rsidRPr="00000000" w14:paraId="00000023">
      <w:pPr>
        <w:jc w:val="left"/>
        <w:rPr/>
      </w:pPr>
      <w:bookmarkStart w:colFirst="0" w:colLast="0" w:name="_heading=h.w1a0gdc47ung" w:id="12"/>
      <w:bookmarkEnd w:id="12"/>
      <w:r w:rsidDel="00000000" w:rsidR="00000000" w:rsidRPr="00000000">
        <w:rPr>
          <w:rtl w:val="0"/>
        </w:rPr>
        <w:t xml:space="preserve">Hourly wage will depend on qualifications and experience following the county step and grade pay schedule. Benefits are in accordance with the Millard County Benefit package approved by the Millard County Commission. Applications and a full job description can be found online at www.millardcounty.org. A copy of applicants driving record (available at any Utah Drivers License Office)</w:t>
      </w:r>
      <w:r w:rsidDel="00000000" w:rsidR="00000000" w:rsidRPr="00000000">
        <w:rPr>
          <w:b w:val="1"/>
          <w:rtl w:val="0"/>
        </w:rPr>
        <w:t xml:space="preserve"> must</w:t>
      </w:r>
      <w:r w:rsidDel="00000000" w:rsidR="00000000" w:rsidRPr="00000000">
        <w:rPr>
          <w:rtl w:val="0"/>
        </w:rPr>
        <w:t xml:space="preserve"> be attached to the application when submitted. Applications will not be considered without the required information. </w:t>
      </w:r>
    </w:p>
    <w:p w:rsidR="00000000" w:rsidDel="00000000" w:rsidP="00000000" w:rsidRDefault="00000000" w:rsidRPr="00000000" w14:paraId="00000024">
      <w:pPr>
        <w:jc w:val="left"/>
        <w:rPr/>
      </w:pPr>
      <w:bookmarkStart w:colFirst="0" w:colLast="0" w:name="_heading=h.6mi4uoejgrqw" w:id="13"/>
      <w:bookmarkEnd w:id="13"/>
      <w:r w:rsidDel="00000000" w:rsidR="00000000" w:rsidRPr="00000000">
        <w:rPr>
          <w:rtl w:val="0"/>
        </w:rPr>
      </w:r>
    </w:p>
    <w:p w:rsidR="00000000" w:rsidDel="00000000" w:rsidP="00000000" w:rsidRDefault="00000000" w:rsidRPr="00000000" w14:paraId="00000025">
      <w:pPr>
        <w:jc w:val="left"/>
        <w:rPr/>
      </w:pPr>
      <w:bookmarkStart w:colFirst="0" w:colLast="0" w:name="_heading=h.7qwajwba70di" w:id="14"/>
      <w:bookmarkEnd w:id="14"/>
      <w:r w:rsidDel="00000000" w:rsidR="00000000" w:rsidRPr="00000000">
        <w:rPr>
          <w:rtl w:val="0"/>
        </w:rPr>
        <w:t xml:space="preserve">Applications and driving record can be submitted by emailing jnielson</w:t>
      </w:r>
      <w:hyperlink r:id="rId9">
        <w:r w:rsidDel="00000000" w:rsidR="00000000" w:rsidRPr="00000000">
          <w:rPr>
            <w:color w:val="1155cc"/>
            <w:u w:val="single"/>
            <w:rtl w:val="0"/>
          </w:rPr>
          <w:t xml:space="preserve">@co.mil</w:t>
        </w:r>
      </w:hyperlink>
      <w:r w:rsidDel="00000000" w:rsidR="00000000" w:rsidRPr="00000000">
        <w:rPr>
          <w:rtl w:val="0"/>
        </w:rPr>
        <w:t xml:space="preserve">lard.ut.us or can be brought to the County Delta Offices at 71 S. 200 W Delta or the Millard County Clerk’s Office at 765 S HWY 99 Fillmore.  Applications and driving records must be received by 5:00 pm on June 12, 2024.</w:t>
      </w:r>
    </w:p>
    <w:p w:rsidR="00000000" w:rsidDel="00000000" w:rsidP="00000000" w:rsidRDefault="00000000" w:rsidRPr="00000000" w14:paraId="00000026">
      <w:pPr>
        <w:jc w:val="left"/>
        <w:rPr/>
      </w:pPr>
      <w:bookmarkStart w:colFirst="0" w:colLast="0" w:name="_heading=h.nt18wdpp8cg0" w:id="15"/>
      <w:bookmarkEnd w:id="15"/>
      <w:r w:rsidDel="00000000" w:rsidR="00000000" w:rsidRPr="00000000">
        <w:rPr>
          <w:rtl w:val="0"/>
        </w:rPr>
      </w:r>
    </w:p>
    <w:p w:rsidR="00000000" w:rsidDel="00000000" w:rsidP="00000000" w:rsidRDefault="00000000" w:rsidRPr="00000000" w14:paraId="00000027">
      <w:pPr>
        <w:rPr/>
      </w:pPr>
      <w:bookmarkStart w:colFirst="0" w:colLast="0" w:name="_heading=h.utiw089h2l1l" w:id="16"/>
      <w:bookmarkEnd w:id="16"/>
      <w:r w:rsidDel="00000000" w:rsidR="00000000" w:rsidRPr="00000000">
        <w:rPr>
          <w:rtl w:val="0"/>
        </w:rPr>
        <w:t xml:space="preserve">Millard County is an Equal Opportunity Employer</w:t>
      </w:r>
    </w:p>
    <w:p w:rsidR="00000000" w:rsidDel="00000000" w:rsidP="00000000" w:rsidRDefault="00000000" w:rsidRPr="00000000" w14:paraId="00000028">
      <w:pPr>
        <w:ind w:left="2880" w:firstLine="720"/>
        <w:jc w:val="left"/>
        <w:rPr/>
      </w:pPr>
      <w:bookmarkStart w:colFirst="0" w:colLast="0" w:name="_heading=h.2et92p0" w:id="17"/>
      <w:bookmarkEnd w:id="17"/>
      <w:r w:rsidDel="00000000" w:rsidR="00000000" w:rsidRPr="00000000">
        <w:rPr>
          <w:rtl w:val="0"/>
        </w:rPr>
      </w:r>
    </w:p>
    <w:p w:rsidR="00000000" w:rsidDel="00000000" w:rsidP="00000000" w:rsidRDefault="00000000" w:rsidRPr="00000000" w14:paraId="00000029">
      <w:pPr>
        <w:ind w:left="2880" w:firstLine="720"/>
        <w:jc w:val="left"/>
        <w:rPr/>
      </w:pPr>
      <w:bookmarkStart w:colFirst="0" w:colLast="0" w:name="_heading=h.tyjcwt" w:id="18"/>
      <w:bookmarkEnd w:id="18"/>
      <w:r w:rsidDel="00000000" w:rsidR="00000000" w:rsidRPr="00000000">
        <w:rPr>
          <w:rtl w:val="0"/>
        </w:rPr>
      </w:r>
    </w:p>
    <w:p w:rsidR="00000000" w:rsidDel="00000000" w:rsidP="00000000" w:rsidRDefault="00000000" w:rsidRPr="00000000" w14:paraId="0000002A">
      <w:pPr>
        <w:spacing w:after="240" w:before="240" w:lineRule="auto"/>
        <w:ind w:right="0"/>
        <w:jc w:val="left"/>
        <w:rPr/>
      </w:pPr>
      <w:bookmarkStart w:colFirst="0" w:colLast="0" w:name="_heading=h.3dy6vkm" w:id="19"/>
      <w:bookmarkEnd w:id="19"/>
      <w:r w:rsidDel="00000000" w:rsidR="00000000" w:rsidRPr="00000000">
        <w:rPr>
          <w:rtl w:val="0"/>
        </w:rPr>
      </w:r>
    </w:p>
    <w:sectPr>
      <w:footerReference r:id="rId10" w:type="default"/>
      <w:pgSz w:h="15840" w:w="12240" w:orient="portrait"/>
      <w:pgMar w:bottom="1440" w:top="1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375"/>
        <w:tab w:val="center" w:leader="none" w:pos="4939"/>
      </w:tabs>
      <w:jc w:val="left"/>
      <w:rPr>
        <w:color w:val="000000"/>
      </w:rPr>
    </w:pPr>
    <w:r w:rsidDel="00000000" w:rsidR="00000000" w:rsidRPr="00000000">
      <w:rPr>
        <w:color w:val="000000"/>
        <w:rtl w:val="0"/>
      </w:rPr>
      <w:tab/>
      <w:tab/>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ind w:right="-518"/>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jhair@co.millard.ut.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XF8afdTA82rC7eLBOV/m0xSvA==">CgMxLjAyCGguZ2pkZ3hzMgloLjMwajB6bGwyCWguMWZvYjl0ZTIJaC4zem55c2g3Mg1oLmhrYXVnYzB4MTJoMg5oLnA2bzE0cDI2cXVuZTIOaC54aWNra3Q5YjY3M2MyDmguamo4azI1djk3NTBqMg5oLmhzaGZwbHUweW9oYzIOaC41dDYzdXJlODd3bWEyDmguNWcycjJrYnB3dG44Mg5oLnRsYnI1cGR0OXE3MzIOaC53MWEwZ2RjNDd1bmcyDmguNm1pNHVvZWpncnF3Mg5oLjdxd2Fqd2JhNzBkaTIOaC5udDE4d2RwcDhjZzAyDmgudXRpdzA4OWgybDFsMgloLjJldDkycDAyCGgudHlqY3d0MgloLjNkeTZ2a204AHIhMVBwS29BZlhOMDJVUjNVNGZOZ2E3T1EyLXI5b00zT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2023-02-07T17:11:00Z</dcterms:created>
  <dc:creator>jhair</dc:creator>
</cp:coreProperties>
</file>